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4"/>
          <w:szCs w:val="28"/>
        </w:rPr>
      </w:pPr>
      <w:r>
        <w:rPr>
          <w:rFonts w:hint="eastAsia"/>
          <w:sz w:val="36"/>
          <w:szCs w:val="36"/>
        </w:rPr>
        <w:t>福清康辉中学校园监控增补参数附件</w:t>
      </w:r>
    </w:p>
    <w:tbl>
      <w:tblPr>
        <w:tblStyle w:val="2"/>
        <w:tblW w:w="10065" w:type="dxa"/>
        <w:tblInd w:w="-572" w:type="dxa"/>
        <w:tblLayout w:type="autofit"/>
        <w:tblCellMar>
          <w:top w:w="0" w:type="dxa"/>
          <w:left w:w="108" w:type="dxa"/>
          <w:bottom w:w="0" w:type="dxa"/>
          <w:right w:w="108" w:type="dxa"/>
        </w:tblCellMar>
      </w:tblPr>
      <w:tblGrid>
        <w:gridCol w:w="851"/>
        <w:gridCol w:w="2020"/>
        <w:gridCol w:w="5634"/>
        <w:gridCol w:w="851"/>
        <w:gridCol w:w="709"/>
      </w:tblGrid>
      <w:tr>
        <w:tblPrEx>
          <w:tblCellMar>
            <w:top w:w="0" w:type="dxa"/>
            <w:left w:w="108" w:type="dxa"/>
            <w:bottom w:w="0" w:type="dxa"/>
            <w:right w:w="108" w:type="dxa"/>
          </w:tblCellMar>
        </w:tblPrEx>
        <w:trPr>
          <w:trHeight w:val="315" w:hRule="atLeast"/>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序号</w:t>
            </w:r>
          </w:p>
        </w:tc>
        <w:tc>
          <w:tcPr>
            <w:tcW w:w="20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产品名称</w:t>
            </w:r>
          </w:p>
        </w:tc>
        <w:tc>
          <w:tcPr>
            <w:tcW w:w="56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参数描述</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单位</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数量</w:t>
            </w:r>
          </w:p>
        </w:tc>
      </w:tr>
      <w:tr>
        <w:tblPrEx>
          <w:tblCellMar>
            <w:top w:w="0" w:type="dxa"/>
            <w:left w:w="108" w:type="dxa"/>
            <w:bottom w:w="0" w:type="dxa"/>
            <w:right w:w="108" w:type="dxa"/>
          </w:tblCellMar>
        </w:tblPrEx>
        <w:trPr>
          <w:trHeight w:val="315" w:hRule="atLeast"/>
        </w:trPr>
        <w:tc>
          <w:tcPr>
            <w:tcW w:w="850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一、前端采集设备</w:t>
            </w:r>
          </w:p>
        </w:tc>
        <w:tc>
          <w:tcPr>
            <w:tcW w:w="851" w:type="dxa"/>
            <w:tcBorders>
              <w:top w:val="nil"/>
              <w:left w:val="nil"/>
              <w:bottom w:val="nil"/>
              <w:right w:val="single" w:color="auto" w:sz="4" w:space="0"/>
            </w:tcBorders>
            <w:shd w:val="clear" w:color="auto" w:fill="auto"/>
            <w:vAlign w:val="center"/>
          </w:tcPr>
          <w:p>
            <w:pPr>
              <w:widowControl/>
              <w:jc w:val="left"/>
              <w:rPr>
                <w:rFonts w:hint="eastAsia" w:ascii="宋体" w:hAnsi="宋体" w:eastAsia="宋体" w:cs="宋体"/>
                <w:b/>
                <w:bCs/>
                <w:color w:val="000000"/>
                <w:kern w:val="0"/>
                <w:sz w:val="20"/>
                <w:szCs w:val="20"/>
              </w:rPr>
            </w:pPr>
          </w:p>
        </w:tc>
        <w:tc>
          <w:tcPr>
            <w:tcW w:w="709" w:type="dxa"/>
            <w:tcBorders>
              <w:top w:val="nil"/>
              <w:left w:val="single" w:color="auto" w:sz="4" w:space="0"/>
              <w:bottom w:val="nil"/>
              <w:right w:val="single" w:color="auto" w:sz="4" w:space="0"/>
            </w:tcBorders>
            <w:shd w:val="clear" w:color="auto" w:fill="auto"/>
            <w:vAlign w:val="center"/>
          </w:tcPr>
          <w:p>
            <w:pPr>
              <w:widowControl/>
              <w:jc w:val="left"/>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204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2020" w:type="dxa"/>
            <w:tcBorders>
              <w:top w:val="nil"/>
              <w:left w:val="nil"/>
              <w:bottom w:val="single" w:color="auto" w:sz="4" w:space="0"/>
              <w:right w:val="single" w:color="auto" w:sz="4" w:space="0"/>
            </w:tcBorders>
            <w:shd w:val="clear" w:color="auto" w:fill="auto"/>
            <w:vAlign w:val="center"/>
          </w:tcPr>
          <w:p>
            <w:pPr>
              <w:widowControl/>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400万POE筒型摄像头 H.265（核心产品）</w:t>
            </w:r>
          </w:p>
        </w:tc>
        <w:tc>
          <w:tcPr>
            <w:tcW w:w="5634"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1.具有≥400万像素CMOS传感器</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2.最低照度彩色不大于0.005lx，黑白不大于0.0005lx</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3.补光距离≥30米</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4.动态范围≥106dB</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5.信噪比≥62dB</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6.需支持≥IP67防尘防水</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7.需支持DC12V供电，且在不小于DC12V±30%范围内变化时可以正常工作。</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台</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75</w:t>
            </w:r>
          </w:p>
        </w:tc>
      </w:tr>
      <w:tr>
        <w:tblPrEx>
          <w:tblCellMar>
            <w:top w:w="0" w:type="dxa"/>
            <w:left w:w="108" w:type="dxa"/>
            <w:bottom w:w="0" w:type="dxa"/>
            <w:right w:w="108" w:type="dxa"/>
          </w:tblCellMar>
        </w:tblPrEx>
        <w:trPr>
          <w:trHeight w:val="31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2020" w:type="dxa"/>
            <w:tcBorders>
              <w:top w:val="nil"/>
              <w:left w:val="nil"/>
              <w:bottom w:val="single" w:color="auto" w:sz="4" w:space="0"/>
              <w:right w:val="single" w:color="auto" w:sz="4" w:space="0"/>
            </w:tcBorders>
            <w:shd w:val="clear" w:color="auto" w:fill="auto"/>
            <w:noWrap/>
            <w:vAlign w:val="center"/>
          </w:tcPr>
          <w:p>
            <w:pPr>
              <w:widowControl/>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监控支架</w:t>
            </w:r>
          </w:p>
        </w:tc>
        <w:tc>
          <w:tcPr>
            <w:tcW w:w="5634"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壁装/吊装</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个</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75</w:t>
            </w:r>
          </w:p>
        </w:tc>
      </w:tr>
      <w:tr>
        <w:tblPrEx>
          <w:tblCellMar>
            <w:top w:w="0" w:type="dxa"/>
            <w:left w:w="108" w:type="dxa"/>
            <w:bottom w:w="0" w:type="dxa"/>
            <w:right w:w="108" w:type="dxa"/>
          </w:tblCellMar>
        </w:tblPrEx>
        <w:trPr>
          <w:trHeight w:val="172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2020" w:type="dxa"/>
            <w:tcBorders>
              <w:top w:val="nil"/>
              <w:left w:val="nil"/>
              <w:bottom w:val="single" w:color="auto" w:sz="4" w:space="0"/>
              <w:right w:val="single" w:color="auto" w:sz="4" w:space="0"/>
            </w:tcBorders>
            <w:shd w:val="clear" w:color="auto" w:fill="auto"/>
            <w:noWrap/>
            <w:vAlign w:val="center"/>
          </w:tcPr>
          <w:p>
            <w:pPr>
              <w:widowControl/>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16口千兆POE交换机</w:t>
            </w:r>
          </w:p>
        </w:tc>
        <w:tc>
          <w:tcPr>
            <w:tcW w:w="5634"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0"/>
                <w:szCs w:val="20"/>
                <w:lang w:eastAsia="zh-CN"/>
              </w:rPr>
            </w:pPr>
            <w:r>
              <w:rPr>
                <w:rFonts w:hint="eastAsia" w:ascii="宋体" w:hAnsi="宋体" w:eastAsia="宋体" w:cs="宋体"/>
                <w:kern w:val="0"/>
                <w:sz w:val="20"/>
                <w:szCs w:val="20"/>
              </w:rPr>
              <w:t>1.具有≥16个千兆PoE电口，≥1个千兆电口，≥1个千兆光口</w:t>
            </w:r>
            <w:r>
              <w:rPr>
                <w:rFonts w:hint="eastAsia" w:ascii="宋体" w:hAnsi="宋体" w:eastAsia="宋体" w:cs="宋体"/>
                <w:kern w:val="0"/>
                <w:sz w:val="20"/>
                <w:szCs w:val="20"/>
                <w:lang w:eastAsia="zh-CN"/>
              </w:rPr>
              <w:t>；</w:t>
            </w:r>
          </w:p>
          <w:p>
            <w:pPr>
              <w:widowControl/>
              <w:jc w:val="left"/>
              <w:rPr>
                <w:rFonts w:hint="eastAsia" w:ascii="宋体" w:hAnsi="宋体" w:eastAsia="宋体" w:cs="宋体"/>
                <w:kern w:val="0"/>
                <w:sz w:val="20"/>
                <w:szCs w:val="20"/>
                <w:lang w:eastAsia="zh-CN"/>
              </w:rPr>
            </w:pPr>
            <w:r>
              <w:rPr>
                <w:rFonts w:hint="eastAsia" w:ascii="宋体" w:hAnsi="宋体" w:eastAsia="宋体" w:cs="宋体"/>
                <w:kern w:val="0"/>
                <w:sz w:val="20"/>
                <w:szCs w:val="20"/>
              </w:rPr>
              <w:t>2.支持PoE输出功率管理</w:t>
            </w:r>
            <w:r>
              <w:rPr>
                <w:rFonts w:hint="eastAsia" w:ascii="宋体" w:hAnsi="宋体" w:eastAsia="宋体" w:cs="宋体"/>
                <w:kern w:val="0"/>
                <w:sz w:val="20"/>
                <w:szCs w:val="20"/>
                <w:lang w:eastAsia="zh-CN"/>
              </w:rPr>
              <w:t>；</w:t>
            </w:r>
          </w:p>
          <w:p>
            <w:pPr>
              <w:widowControl/>
              <w:jc w:val="left"/>
              <w:rPr>
                <w:rFonts w:hint="eastAsia" w:ascii="宋体" w:hAnsi="宋体" w:eastAsia="宋体" w:cs="宋体"/>
                <w:kern w:val="0"/>
                <w:sz w:val="20"/>
                <w:szCs w:val="20"/>
                <w:lang w:eastAsia="zh-CN"/>
              </w:rPr>
            </w:pPr>
            <w:r>
              <w:rPr>
                <w:rFonts w:hint="eastAsia" w:ascii="宋体" w:hAnsi="宋体" w:eastAsia="宋体" w:cs="宋体"/>
                <w:kern w:val="0"/>
                <w:sz w:val="20"/>
                <w:szCs w:val="20"/>
              </w:rPr>
              <w:t>3.存储转发交换方式</w:t>
            </w:r>
            <w:r>
              <w:rPr>
                <w:rFonts w:hint="eastAsia" w:ascii="宋体" w:hAnsi="宋体" w:eastAsia="宋体" w:cs="宋体"/>
                <w:kern w:val="0"/>
                <w:sz w:val="20"/>
                <w:szCs w:val="20"/>
                <w:lang w:eastAsia="zh-CN"/>
              </w:rPr>
              <w:t>；</w:t>
            </w:r>
          </w:p>
          <w:p>
            <w:pPr>
              <w:widowControl/>
              <w:jc w:val="left"/>
              <w:rPr>
                <w:rFonts w:hint="eastAsia" w:ascii="宋体" w:hAnsi="宋体" w:eastAsia="宋体" w:cs="宋体"/>
                <w:kern w:val="0"/>
                <w:sz w:val="20"/>
                <w:szCs w:val="20"/>
                <w:lang w:eastAsia="zh-CN"/>
              </w:rPr>
            </w:pPr>
            <w:r>
              <w:rPr>
                <w:rFonts w:hint="eastAsia" w:ascii="宋体" w:hAnsi="宋体" w:eastAsia="宋体" w:cs="宋体"/>
                <w:kern w:val="0"/>
                <w:sz w:val="20"/>
                <w:szCs w:val="20"/>
              </w:rPr>
              <w:t>4.无风扇设计，高可靠性</w:t>
            </w:r>
            <w:r>
              <w:rPr>
                <w:rFonts w:hint="eastAsia" w:ascii="宋体" w:hAnsi="宋体" w:eastAsia="宋体" w:cs="宋体"/>
                <w:kern w:val="0"/>
                <w:sz w:val="20"/>
                <w:szCs w:val="20"/>
                <w:lang w:eastAsia="zh-CN"/>
              </w:rPr>
              <w:t>；</w:t>
            </w:r>
          </w:p>
          <w:p>
            <w:pPr>
              <w:widowControl/>
              <w:jc w:val="left"/>
              <w:rPr>
                <w:rFonts w:hint="eastAsia" w:ascii="宋体" w:hAnsi="宋体" w:eastAsia="宋体" w:cs="宋体"/>
                <w:kern w:val="0"/>
                <w:sz w:val="20"/>
                <w:szCs w:val="20"/>
                <w:lang w:eastAsia="zh-CN"/>
              </w:rPr>
            </w:pPr>
            <w:r>
              <w:rPr>
                <w:rFonts w:hint="eastAsia" w:ascii="宋体" w:hAnsi="宋体" w:eastAsia="宋体" w:cs="宋体"/>
                <w:kern w:val="0"/>
                <w:sz w:val="20"/>
                <w:szCs w:val="20"/>
              </w:rPr>
              <w:t>5.工作温度：0℃～40℃</w:t>
            </w:r>
            <w:r>
              <w:rPr>
                <w:rFonts w:hint="eastAsia" w:ascii="宋体" w:hAnsi="宋体" w:eastAsia="宋体" w:cs="宋体"/>
                <w:kern w:val="0"/>
                <w:sz w:val="20"/>
                <w:szCs w:val="20"/>
                <w:lang w:eastAsia="zh-CN"/>
              </w:rPr>
              <w:t>。</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14</w:t>
            </w:r>
          </w:p>
        </w:tc>
      </w:tr>
      <w:tr>
        <w:tblPrEx>
          <w:tblCellMar>
            <w:top w:w="0" w:type="dxa"/>
            <w:left w:w="108" w:type="dxa"/>
            <w:bottom w:w="0" w:type="dxa"/>
            <w:right w:w="108" w:type="dxa"/>
          </w:tblCellMar>
        </w:tblPrEx>
        <w:trPr>
          <w:trHeight w:val="353" w:hRule="atLeast"/>
        </w:trPr>
        <w:tc>
          <w:tcPr>
            <w:tcW w:w="850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二、终端存储显示设备</w:t>
            </w:r>
          </w:p>
        </w:tc>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color w:val="000000"/>
                <w:kern w:val="0"/>
                <w:sz w:val="20"/>
                <w:szCs w:val="20"/>
              </w:rPr>
            </w:pPr>
          </w:p>
        </w:tc>
        <w:tc>
          <w:tcPr>
            <w:tcW w:w="70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2257" w:hRule="atLeast"/>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20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xml:space="preserve">磁盘阵列服务器       </w:t>
            </w:r>
          </w:p>
        </w:tc>
        <w:tc>
          <w:tcPr>
            <w:tcW w:w="56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1.单设备配置≥两颗64位多核处理器，≥8GB内存，内存支持扩展到≥256GB，配置冗余金牌电源</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2.单设备标配≥4个千兆网口，可增扩≥2个万兆口或≥4个光纤接口，可增扩≥2个SSD固态硬盘</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3.支持FCSAN、IPSAN、NAS存储功能</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4.可接入硬盘≥24块SATA/SAS硬盘，并支持≥11级扩展柜级联扩展</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5.标配≥1个MINISAS接口，并支持扩展SAS3.0高速接口</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6.能提供RAID0、1、3、5、6保护，支持坏盘自动重构</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7.能接入并存储≥2448Mbps视频图像，同时转发≥2448Mbps的视频图像；同时回放≥384Mbps的视频图像</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8.支持≥600MBps图片并发输入，同时≥600MBps图片并发输出</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9.可根据数据对象的重要性、访问频率等属性对数据进行自动分层存储。可通过IE浏览器对一台、多台样机或扩展柜中的磁盘进行定位，使对应的磁盘指示灯闪烁，闪烁的时长可设。（提供招标公告发布前生效的公安部授权检测机构出具的有效检验报告复印件并加盖投标人公章做为依据，原件备查）</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10.通过客户端软件添加及删除手机号，启用短信网关报警功能后，可向添加的手机号码发送电源异常、系统卡容量不足、存储空间异常、自动修复失败、私有卷IO异常、无可用逻辑卷等报警信息，报警种类可设。可对指定的录像段或指定事件的1个或多个前端的不同时间段的录像段添加标签，并自动备份到存档卷中，使之不会被覆盖删除。（提供招标公告发布前生效的公安部授权检测机构出具的有效检验报告复印件并加盖投标人公章做为依据，原件备查）</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11.可根据事件名称查询所有相关联的不同前端或时间的录像段并进行回放和下载。（提供招标公告发布前生效的公安部授权检测机构出具的有效检验报告复印件并加盖投标人公章做为依据，原件备查）</w:t>
            </w:r>
            <w:r>
              <w:rPr>
                <w:rFonts w:hint="eastAsia" w:ascii="宋体" w:hAnsi="宋体" w:eastAsia="宋体" w:cs="宋体"/>
                <w:color w:val="000000"/>
                <w:kern w:val="0"/>
                <w:sz w:val="20"/>
                <w:szCs w:val="20"/>
                <w:lang w:eastAsia="zh-CN"/>
              </w:rPr>
              <w:t>；</w:t>
            </w:r>
          </w:p>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12.在RAID内丢失≥2块硬盘但至少有1块正常磁盘时，无需等待丢失盘恢复，保留的硬盘中的数据可正常读出，且新数据可正常写入。</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r>
      <w:tr>
        <w:tblPrEx>
          <w:tblCellMar>
            <w:top w:w="0" w:type="dxa"/>
            <w:left w:w="108" w:type="dxa"/>
            <w:bottom w:w="0" w:type="dxa"/>
            <w:right w:w="108" w:type="dxa"/>
          </w:tblCellMar>
        </w:tblPrEx>
        <w:trPr>
          <w:trHeight w:val="31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2</w:t>
            </w:r>
          </w:p>
        </w:tc>
        <w:tc>
          <w:tcPr>
            <w:tcW w:w="202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监控企业盘</w:t>
            </w:r>
          </w:p>
        </w:tc>
        <w:tc>
          <w:tcPr>
            <w:tcW w:w="5634" w:type="dxa"/>
            <w:tcBorders>
              <w:top w:val="nil"/>
              <w:left w:val="nil"/>
              <w:bottom w:val="single" w:color="auto" w:sz="4" w:space="0"/>
              <w:right w:val="single" w:color="auto" w:sz="4" w:space="0"/>
            </w:tcBorders>
            <w:shd w:val="clear" w:color="auto" w:fill="auto"/>
            <w:noWrap/>
            <w:vAlign w:val="center"/>
          </w:tcPr>
          <w:p>
            <w:pPr>
              <w:widowControl/>
              <w:rPr>
                <w:rFonts w:hint="eastAsia" w:ascii="等线" w:hAnsi="等线" w:eastAsia="等线" w:cs="宋体"/>
                <w:color w:val="000000"/>
                <w:kern w:val="0"/>
                <w:sz w:val="20"/>
                <w:szCs w:val="20"/>
              </w:rPr>
            </w:pPr>
            <w:bookmarkStart w:id="0" w:name="_GoBack"/>
            <w:bookmarkEnd w:id="0"/>
            <w:r>
              <w:rPr>
                <w:rFonts w:hint="eastAsia" w:ascii="等线" w:hAnsi="等线" w:eastAsia="等线" w:cs="宋体"/>
                <w:color w:val="000000"/>
                <w:kern w:val="0"/>
                <w:sz w:val="20"/>
                <w:szCs w:val="20"/>
              </w:rPr>
              <w:t>6T企业级SATA硬盘</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24</w:t>
            </w:r>
          </w:p>
        </w:tc>
      </w:tr>
      <w:tr>
        <w:tblPrEx>
          <w:tblCellMar>
            <w:top w:w="0" w:type="dxa"/>
            <w:left w:w="108" w:type="dxa"/>
            <w:bottom w:w="0" w:type="dxa"/>
            <w:right w:w="108" w:type="dxa"/>
          </w:tblCellMar>
        </w:tblPrEx>
        <w:trPr>
          <w:trHeight w:val="435" w:hRule="atLeast"/>
        </w:trPr>
        <w:tc>
          <w:tcPr>
            <w:tcW w:w="850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等线" w:hAnsi="等线" w:eastAsia="等线" w:cs="宋体"/>
                <w:b/>
                <w:bCs/>
                <w:color w:val="000000"/>
                <w:kern w:val="0"/>
                <w:sz w:val="20"/>
                <w:szCs w:val="20"/>
              </w:rPr>
            </w:pPr>
            <w:r>
              <w:rPr>
                <w:rFonts w:hint="eastAsia" w:ascii="等线" w:hAnsi="等线" w:eastAsia="等线" w:cs="宋体"/>
                <w:b/>
                <w:bCs/>
                <w:color w:val="000000"/>
                <w:kern w:val="0"/>
                <w:sz w:val="20"/>
                <w:szCs w:val="20"/>
              </w:rPr>
              <w:t>三、线材及辅材部分</w:t>
            </w:r>
          </w:p>
        </w:tc>
        <w:tc>
          <w:tcPr>
            <w:tcW w:w="851" w:type="dxa"/>
            <w:tcBorders>
              <w:top w:val="nil"/>
              <w:left w:val="nil"/>
              <w:bottom w:val="nil"/>
              <w:right w:val="single" w:color="auto" w:sz="4" w:space="0"/>
            </w:tcBorders>
            <w:shd w:val="clear" w:color="auto" w:fill="auto"/>
            <w:vAlign w:val="center"/>
          </w:tcPr>
          <w:p>
            <w:pPr>
              <w:widowControl/>
              <w:jc w:val="left"/>
              <w:rPr>
                <w:rFonts w:hint="eastAsia" w:ascii="等线" w:hAnsi="等线" w:eastAsia="等线" w:cs="宋体"/>
                <w:b/>
                <w:bCs/>
                <w:color w:val="000000"/>
                <w:kern w:val="0"/>
                <w:sz w:val="20"/>
                <w:szCs w:val="20"/>
              </w:rPr>
            </w:pPr>
          </w:p>
        </w:tc>
        <w:tc>
          <w:tcPr>
            <w:tcW w:w="709" w:type="dxa"/>
            <w:tcBorders>
              <w:top w:val="nil"/>
              <w:left w:val="single" w:color="auto" w:sz="4" w:space="0"/>
              <w:bottom w:val="nil"/>
              <w:right w:val="single" w:color="auto" w:sz="4" w:space="0"/>
            </w:tcBorders>
            <w:shd w:val="clear" w:color="auto" w:fill="auto"/>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1</w:t>
            </w:r>
          </w:p>
        </w:tc>
        <w:tc>
          <w:tcPr>
            <w:tcW w:w="2020" w:type="dxa"/>
            <w:tcBorders>
              <w:top w:val="nil"/>
              <w:left w:val="nil"/>
              <w:bottom w:val="single" w:color="auto" w:sz="4" w:space="0"/>
              <w:right w:val="single" w:color="auto" w:sz="4" w:space="0"/>
            </w:tcBorders>
            <w:shd w:val="clear" w:color="auto" w:fill="auto"/>
            <w:noWrap/>
            <w:vAlign w:val="center"/>
          </w:tcPr>
          <w:p>
            <w:pPr>
              <w:widowControl/>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网络线</w:t>
            </w:r>
          </w:p>
        </w:tc>
        <w:tc>
          <w:tcPr>
            <w:tcW w:w="563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六类非屏蔽网络线</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米</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5000</w:t>
            </w:r>
          </w:p>
        </w:tc>
      </w:tr>
      <w:tr>
        <w:tblPrEx>
          <w:tblCellMar>
            <w:top w:w="0" w:type="dxa"/>
            <w:left w:w="108" w:type="dxa"/>
            <w:bottom w:w="0" w:type="dxa"/>
            <w:right w:w="108" w:type="dxa"/>
          </w:tblCellMar>
        </w:tblPrEx>
        <w:trPr>
          <w:trHeight w:val="31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2</w:t>
            </w:r>
          </w:p>
        </w:tc>
        <w:tc>
          <w:tcPr>
            <w:tcW w:w="2020" w:type="dxa"/>
            <w:tcBorders>
              <w:top w:val="nil"/>
              <w:left w:val="nil"/>
              <w:bottom w:val="single" w:color="auto" w:sz="4" w:space="0"/>
              <w:right w:val="single" w:color="auto" w:sz="4" w:space="0"/>
            </w:tcBorders>
            <w:shd w:val="clear" w:color="auto" w:fill="auto"/>
            <w:noWrap/>
            <w:vAlign w:val="center"/>
          </w:tcPr>
          <w:p>
            <w:pPr>
              <w:widowControl/>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光纤线</w:t>
            </w:r>
          </w:p>
        </w:tc>
        <w:tc>
          <w:tcPr>
            <w:tcW w:w="563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12芯户外单模光纤线</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米</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200</w:t>
            </w:r>
          </w:p>
        </w:tc>
      </w:tr>
      <w:tr>
        <w:tblPrEx>
          <w:tblCellMar>
            <w:top w:w="0" w:type="dxa"/>
            <w:left w:w="108" w:type="dxa"/>
            <w:bottom w:w="0" w:type="dxa"/>
            <w:right w:w="108" w:type="dxa"/>
          </w:tblCellMar>
        </w:tblPrEx>
        <w:trPr>
          <w:trHeight w:val="31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3</w:t>
            </w:r>
          </w:p>
        </w:tc>
        <w:tc>
          <w:tcPr>
            <w:tcW w:w="2020" w:type="dxa"/>
            <w:tcBorders>
              <w:top w:val="nil"/>
              <w:left w:val="nil"/>
              <w:bottom w:val="single" w:color="auto" w:sz="4" w:space="0"/>
              <w:right w:val="single" w:color="auto" w:sz="4" w:space="0"/>
            </w:tcBorders>
            <w:shd w:val="clear" w:color="auto" w:fill="auto"/>
            <w:noWrap/>
            <w:vAlign w:val="center"/>
          </w:tcPr>
          <w:p>
            <w:pPr>
              <w:widowControl/>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电源线</w:t>
            </w:r>
          </w:p>
        </w:tc>
        <w:tc>
          <w:tcPr>
            <w:tcW w:w="563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RVV2*1.5电源线</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米</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200</w:t>
            </w:r>
          </w:p>
        </w:tc>
      </w:tr>
      <w:tr>
        <w:tblPrEx>
          <w:tblCellMar>
            <w:top w:w="0" w:type="dxa"/>
            <w:left w:w="108" w:type="dxa"/>
            <w:bottom w:w="0" w:type="dxa"/>
            <w:right w:w="108" w:type="dxa"/>
          </w:tblCellMar>
        </w:tblPrEx>
        <w:trPr>
          <w:trHeight w:val="315"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4</w:t>
            </w:r>
          </w:p>
        </w:tc>
        <w:tc>
          <w:tcPr>
            <w:tcW w:w="2020" w:type="dxa"/>
            <w:tcBorders>
              <w:top w:val="nil"/>
              <w:left w:val="nil"/>
              <w:bottom w:val="single" w:color="auto" w:sz="4" w:space="0"/>
              <w:right w:val="single" w:color="auto" w:sz="4" w:space="0"/>
            </w:tcBorders>
            <w:shd w:val="clear" w:color="auto" w:fill="auto"/>
            <w:noWrap/>
            <w:vAlign w:val="center"/>
          </w:tcPr>
          <w:p>
            <w:pPr>
              <w:widowControl/>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管材</w:t>
            </w:r>
          </w:p>
        </w:tc>
        <w:tc>
          <w:tcPr>
            <w:tcW w:w="563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PVC20/25/32管材及相关配件</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米</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0"/>
                <w:szCs w:val="20"/>
              </w:rPr>
            </w:pPr>
            <w:r>
              <w:rPr>
                <w:rFonts w:hint="eastAsia" w:ascii="等线" w:hAnsi="等线" w:eastAsia="等线" w:cs="宋体"/>
                <w:color w:val="000000"/>
                <w:kern w:val="0"/>
                <w:sz w:val="20"/>
                <w:szCs w:val="20"/>
              </w:rPr>
              <w:t>800</w:t>
            </w:r>
          </w:p>
        </w:tc>
      </w:tr>
    </w:tbl>
    <w:p>
      <w:pPr>
        <w:rPr>
          <w:rFonts w:hint="eastAsia"/>
        </w:rPr>
      </w:pPr>
    </w:p>
    <w:sectPr>
      <w:pgSz w:w="11906" w:h="16838"/>
      <w:pgMar w:top="1135"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B3F"/>
    <w:rsid w:val="0070683A"/>
    <w:rsid w:val="00815B3F"/>
    <w:rsid w:val="00CB2FA5"/>
    <w:rsid w:val="1CA4563B"/>
    <w:rsid w:val="3C6113C6"/>
    <w:rsid w:val="57565F4E"/>
    <w:rsid w:val="5F3838F2"/>
    <w:rsid w:val="699A4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206</Words>
  <Characters>1179</Characters>
  <Lines>9</Lines>
  <Paragraphs>2</Paragraphs>
  <TotalTime>12</TotalTime>
  <ScaleCrop>false</ScaleCrop>
  <LinksUpToDate>false</LinksUpToDate>
  <CharactersWithSpaces>1383</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2021-11-24T02:36:00Z</dcterms:created>
  <dc:creator>Administrator</dc:creator>
  <cp:lastModifiedBy>君来</cp:lastModifiedBy>
  <dcterms:modified xsi:type="dcterms:W3CDTF">2021-11-24T03:20:34Z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3D451F143D454164B86350761775CD5A</vt:lpwstr>
  </property>
</Properties>
</file>